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1E3E9A" w:rsidRDefault="005229D0" w:rsidP="005229D0">
      <w:pPr>
        <w:spacing w:after="0" w:line="240" w:lineRule="auto"/>
        <w:jc w:val="center"/>
        <w:rPr>
          <w:rFonts w:ascii="Georgia" w:eastAsia="Times New Roman" w:hAnsi="Georgia" w:cs="Georgia"/>
          <w:color w:val="002060"/>
          <w:sz w:val="48"/>
          <w:szCs w:val="48"/>
        </w:rPr>
      </w:pPr>
      <w:r w:rsidRPr="001E3E9A">
        <w:rPr>
          <w:rFonts w:ascii="Georgia" w:eastAsia="Times New Roman" w:hAnsi="Georgia" w:cs="Georgia"/>
          <w:color w:val="002060"/>
          <w:sz w:val="48"/>
          <w:szCs w:val="48"/>
        </w:rPr>
        <w:t>Welcome to HBC</w:t>
      </w:r>
    </w:p>
    <w:p w:rsidR="006104CE" w:rsidRPr="001E3E9A" w:rsidRDefault="00EB328A" w:rsidP="005229D0">
      <w:pPr>
        <w:spacing w:after="0" w:line="240" w:lineRule="auto"/>
        <w:jc w:val="center"/>
        <w:rPr>
          <w:rFonts w:ascii="Georgia" w:eastAsia="Times New Roman" w:hAnsi="Georgia" w:cs="Georgia"/>
          <w:b/>
          <w:i/>
          <w:color w:val="002060"/>
          <w:sz w:val="32"/>
          <w:szCs w:val="32"/>
        </w:rPr>
      </w:pPr>
      <w:r w:rsidRPr="001E3E9A">
        <w:rPr>
          <w:rFonts w:ascii="Georgia" w:eastAsia="Times New Roman" w:hAnsi="Georgia" w:cs="Georgia"/>
          <w:b/>
          <w:i/>
          <w:color w:val="002060"/>
          <w:sz w:val="32"/>
          <w:szCs w:val="32"/>
        </w:rPr>
        <w:t xml:space="preserve">May </w:t>
      </w:r>
      <w:r w:rsidR="00DF474B" w:rsidRPr="001E3E9A">
        <w:rPr>
          <w:rFonts w:ascii="Georgia" w:eastAsia="Times New Roman" w:hAnsi="Georgia" w:cs="Georgia"/>
          <w:b/>
          <w:i/>
          <w:color w:val="002060"/>
          <w:sz w:val="32"/>
          <w:szCs w:val="32"/>
        </w:rPr>
        <w:t>21</w:t>
      </w:r>
      <w:r w:rsidR="00876586" w:rsidRPr="001E3E9A">
        <w:rPr>
          <w:rFonts w:ascii="Georgia" w:eastAsia="Times New Roman" w:hAnsi="Georgia" w:cs="Georgia"/>
          <w:b/>
          <w:i/>
          <w:color w:val="002060"/>
          <w:sz w:val="32"/>
          <w:szCs w:val="32"/>
        </w:rPr>
        <w:t>, 2023</w:t>
      </w:r>
    </w:p>
    <w:p w:rsidR="0059736A" w:rsidRPr="001E3E9A" w:rsidRDefault="0059736A" w:rsidP="005229D0">
      <w:pPr>
        <w:spacing w:after="0" w:line="240" w:lineRule="auto"/>
        <w:jc w:val="center"/>
        <w:rPr>
          <w:rFonts w:ascii="Georgia" w:eastAsia="Times New Roman" w:hAnsi="Georgia" w:cs="Georgia"/>
          <w:b/>
          <w:i/>
          <w:color w:val="002060"/>
          <w:sz w:val="16"/>
          <w:szCs w:val="16"/>
        </w:rPr>
      </w:pPr>
    </w:p>
    <w:p w:rsidR="005229D0" w:rsidRPr="001E3E9A" w:rsidRDefault="005229D0" w:rsidP="005229D0">
      <w:pPr>
        <w:spacing w:after="0" w:line="240" w:lineRule="auto"/>
        <w:jc w:val="center"/>
        <w:rPr>
          <w:rFonts w:ascii="Baskerville Old Face" w:eastAsia="Times New Roman" w:hAnsi="Baskerville Old Face" w:cs="Times New Roman"/>
          <w:bCs/>
          <w:i/>
          <w:color w:val="002060"/>
          <w:sz w:val="56"/>
          <w:szCs w:val="56"/>
          <w:u w:val="single"/>
        </w:rPr>
      </w:pPr>
      <w:r w:rsidRPr="001E3E9A">
        <w:rPr>
          <w:rFonts w:ascii="Baskerville Old Face" w:eastAsia="Times New Roman" w:hAnsi="Baskerville Old Face" w:cs="Times New Roman"/>
          <w:b/>
          <w:bCs/>
          <w:i/>
          <w:color w:val="002060"/>
          <w:sz w:val="56"/>
          <w:szCs w:val="56"/>
          <w:u w:val="single"/>
        </w:rPr>
        <w:t>H</w:t>
      </w:r>
      <w:r w:rsidRPr="001E3E9A">
        <w:rPr>
          <w:rFonts w:ascii="Baskerville Old Face" w:eastAsia="Times New Roman" w:hAnsi="Baskerville Old Face" w:cs="Times New Roman"/>
          <w:bCs/>
          <w:i/>
          <w:color w:val="002060"/>
          <w:sz w:val="56"/>
          <w:szCs w:val="56"/>
          <w:u w:val="single"/>
        </w:rPr>
        <w:t xml:space="preserve">ighland </w:t>
      </w:r>
      <w:r w:rsidRPr="001E3E9A">
        <w:rPr>
          <w:rFonts w:ascii="Baskerville Old Face" w:eastAsia="Times New Roman" w:hAnsi="Baskerville Old Face" w:cs="Times New Roman"/>
          <w:b/>
          <w:bCs/>
          <w:i/>
          <w:color w:val="002060"/>
          <w:sz w:val="56"/>
          <w:szCs w:val="56"/>
          <w:u w:val="single"/>
        </w:rPr>
        <w:t>B</w:t>
      </w:r>
      <w:r w:rsidRPr="001E3E9A">
        <w:rPr>
          <w:rFonts w:ascii="Baskerville Old Face" w:eastAsia="Times New Roman" w:hAnsi="Baskerville Old Face" w:cs="Times New Roman"/>
          <w:bCs/>
          <w:i/>
          <w:color w:val="002060"/>
          <w:sz w:val="56"/>
          <w:szCs w:val="56"/>
          <w:u w:val="single"/>
        </w:rPr>
        <w:t xml:space="preserve">aptist </w:t>
      </w:r>
      <w:r w:rsidRPr="001E3E9A">
        <w:rPr>
          <w:rFonts w:ascii="Baskerville Old Face" w:eastAsia="Times New Roman" w:hAnsi="Baskerville Old Face" w:cs="Times New Roman"/>
          <w:b/>
          <w:bCs/>
          <w:i/>
          <w:color w:val="002060"/>
          <w:sz w:val="56"/>
          <w:szCs w:val="56"/>
          <w:u w:val="single"/>
        </w:rPr>
        <w:t>C</w:t>
      </w:r>
      <w:r w:rsidRPr="001E3E9A">
        <w:rPr>
          <w:rFonts w:ascii="Baskerville Old Face" w:eastAsia="Times New Roman" w:hAnsi="Baskerville Old Face" w:cs="Times New Roman"/>
          <w:bCs/>
          <w:i/>
          <w:color w:val="002060"/>
          <w:sz w:val="56"/>
          <w:szCs w:val="56"/>
          <w:u w:val="single"/>
        </w:rPr>
        <w:t>hurch</w:t>
      </w:r>
      <w:r w:rsidRPr="001E3E9A">
        <w:rPr>
          <w:rFonts w:ascii="Times New Roman" w:eastAsia="Times New Roman" w:hAnsi="Times New Roman" w:cs="Times New Roman"/>
          <w:snapToGrid w:val="0"/>
          <w:color w:val="00206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bookmarkStart w:id="0" w:name="_GoBack"/>
      <w:bookmarkEnd w:id="0"/>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702426" w:rsidRDefault="00702426" w:rsidP="00975924">
      <w:pPr>
        <w:spacing w:after="0" w:line="240" w:lineRule="auto"/>
        <w:rPr>
          <w:rFonts w:ascii="Times New Roman" w:eastAsia="Times New Roman" w:hAnsi="Times New Roman" w:cs="Times New Roman"/>
          <w:b/>
          <w:iCs/>
          <w:sz w:val="24"/>
          <w:szCs w:val="24"/>
          <w:u w:val="single"/>
        </w:rPr>
      </w:pPr>
    </w:p>
    <w:p w:rsidR="005229D0" w:rsidRPr="005229D0" w:rsidRDefault="005229D0" w:rsidP="00975924">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00975924">
        <w:rPr>
          <w:rFonts w:ascii="Times New Roman" w:eastAsia="Times New Roman" w:hAnsi="Times New Roman" w:cs="Times New Roman"/>
          <w:b/>
          <w:iCs/>
        </w:rPr>
        <w:tab/>
      </w:r>
      <w:r w:rsidR="00975924">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sidR="00975924">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823410" w:rsidRDefault="00823410" w:rsidP="00823410">
      <w:pPr>
        <w:spacing w:after="0" w:line="240" w:lineRule="auto"/>
        <w:rPr>
          <w:rFonts w:ascii="Times New Roman" w:eastAsia="Times New Roman" w:hAnsi="Times New Roman" w:cs="Times New Roman"/>
          <w:bCs/>
          <w:iCs/>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r w:rsidRPr="00823410">
        <w:rPr>
          <w:rFonts w:ascii="Times New Roman" w:eastAsia="Times New Roman" w:hAnsi="Times New Roman" w:cs="Times New Roman"/>
          <w:bCs/>
          <w:iCs/>
        </w:rPr>
        <w:t>6:00 - Sunday Evening Bible Study</w:t>
      </w:r>
    </w:p>
    <w:p w:rsidR="00823410" w:rsidRPr="00823410" w:rsidRDefault="00823410" w:rsidP="00823410">
      <w:pPr>
        <w:spacing w:after="0" w:line="240" w:lineRule="auto"/>
        <w:rPr>
          <w:rFonts w:ascii="Times New Roman" w:eastAsia="Times New Roman" w:hAnsi="Times New Roman" w:cs="Times New Roman"/>
          <w:bCs/>
          <w:iCs/>
          <w:sz w:val="16"/>
          <w:szCs w:val="16"/>
        </w:rPr>
      </w:pPr>
    </w:p>
    <w:p w:rsidR="00975924" w:rsidRPr="00752685" w:rsidRDefault="005D50A6" w:rsidP="000B0AD5">
      <w:pPr>
        <w:spacing w:after="0" w:line="240" w:lineRule="auto"/>
        <w:ind w:left="1440" w:firstLine="720"/>
        <w:rPr>
          <w:rFonts w:ascii="Times New Roman" w:eastAsia="Times New Roman" w:hAnsi="Times New Roman" w:cs="Times New Roman"/>
          <w:b/>
          <w:bCs/>
          <w:iCs/>
          <w:sz w:val="10"/>
          <w:szCs w:val="10"/>
          <w:u w:val="single"/>
        </w:rPr>
      </w:pPr>
      <w:r w:rsidRPr="005D50A6">
        <w:rPr>
          <w:rFonts w:ascii="Times New Roman" w:eastAsia="Times New Roman" w:hAnsi="Times New Roman" w:cs="Times New Roman"/>
          <w:bCs/>
          <w:iCs/>
        </w:rPr>
        <w:t xml:space="preserve"> </w:t>
      </w: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834D25" w:rsidRDefault="00834D2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823410" w:rsidRPr="00823410" w:rsidRDefault="00823410" w:rsidP="008368EB">
      <w:pPr>
        <w:spacing w:after="0" w:line="240" w:lineRule="auto"/>
        <w:rPr>
          <w:rFonts w:ascii="Times New Roman" w:eastAsia="Times New Roman" w:hAnsi="Times New Roman" w:cs="Times New Roman"/>
          <w:bCs/>
          <w:iCs/>
          <w:sz w:val="16"/>
          <w:szCs w:val="16"/>
        </w:rPr>
      </w:pPr>
    </w:p>
    <w:p w:rsidR="000B0AD5" w:rsidRPr="000B0AD5" w:rsidRDefault="000B0AD5" w:rsidP="008368EB">
      <w:pPr>
        <w:spacing w:after="0" w:line="240" w:lineRule="auto"/>
        <w:rPr>
          <w:rFonts w:ascii="Times New Roman" w:eastAsia="Times New Roman" w:hAnsi="Times New Roman" w:cs="Times New Roman"/>
          <w:bCs/>
          <w:iCs/>
        </w:rPr>
      </w:pPr>
      <w:r w:rsidRPr="000B0AD5">
        <w:rPr>
          <w:rFonts w:ascii="Times New Roman" w:eastAsia="Times New Roman" w:hAnsi="Times New Roman" w:cs="Times New Roman"/>
          <w:b/>
          <w:bCs/>
          <w:iCs/>
          <w:sz w:val="24"/>
          <w:szCs w:val="24"/>
          <w:u w:val="single"/>
        </w:rPr>
        <w:t>Saturday</w:t>
      </w:r>
      <w:r>
        <w:rPr>
          <w:rFonts w:ascii="Times New Roman" w:eastAsia="Times New Roman" w:hAnsi="Times New Roman" w:cs="Times New Roman"/>
          <w:bCs/>
          <w:iCs/>
        </w:rPr>
        <w:tab/>
        <w:t xml:space="preserve">              8:30 -Men’s Breakfast at MLC’s</w:t>
      </w:r>
    </w:p>
    <w:p w:rsidR="00702426" w:rsidRDefault="003A6A0E" w:rsidP="00702426">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Veteran’s Eat Free</w:t>
      </w:r>
    </w:p>
    <w:p w:rsidR="003A6A0E" w:rsidRDefault="003A6A0E" w:rsidP="00702426">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Must Register by May 24</w:t>
      </w:r>
    </w:p>
    <w:p w:rsidR="003A6A0E" w:rsidRPr="00823410" w:rsidRDefault="003A6A0E" w:rsidP="00702426">
      <w:pPr>
        <w:pStyle w:val="ListParagraph"/>
        <w:widowControl w:val="0"/>
        <w:autoSpaceDE w:val="0"/>
        <w:autoSpaceDN w:val="0"/>
        <w:adjustRightInd w:val="0"/>
        <w:spacing w:before="60" w:after="60"/>
        <w:jc w:val="center"/>
        <w:rPr>
          <w:rFonts w:ascii="Verdana" w:hAnsi="Verdana" w:cs="Verdana"/>
          <w:sz w:val="16"/>
          <w:szCs w:val="16"/>
          <w:lang w:eastAsia="x-none"/>
        </w:rPr>
      </w:pPr>
    </w:p>
    <w:p w:rsidR="0042283A" w:rsidRDefault="0042283A"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Pr>
          <w:rFonts w:ascii="Verdana" w:hAnsi="Verdana" w:cs="Verdana"/>
          <w:lang w:eastAsia="x-none"/>
        </w:rPr>
        <w:t>May 29 - Memorial Day</w:t>
      </w:r>
    </w:p>
    <w:p w:rsidR="00823410" w:rsidRPr="00823410" w:rsidRDefault="00823410" w:rsidP="00823410">
      <w:pPr>
        <w:pStyle w:val="ListParagraph"/>
        <w:widowControl w:val="0"/>
        <w:autoSpaceDE w:val="0"/>
        <w:autoSpaceDN w:val="0"/>
        <w:adjustRightInd w:val="0"/>
        <w:spacing w:before="60" w:after="60"/>
        <w:rPr>
          <w:rFonts w:ascii="Verdana" w:hAnsi="Verdana" w:cs="Verdana"/>
          <w:sz w:val="16"/>
          <w:szCs w:val="16"/>
          <w:lang w:eastAsia="x-none"/>
        </w:rPr>
      </w:pPr>
    </w:p>
    <w:p w:rsidR="00823410" w:rsidRPr="00823410" w:rsidRDefault="00823410" w:rsidP="00823410">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Pr>
          <w:rFonts w:ascii="Verdana" w:hAnsi="Verdana" w:cs="Verdana"/>
          <w:lang w:eastAsia="x-none"/>
        </w:rPr>
        <w:t>June 18</w:t>
      </w:r>
      <w:r w:rsidRPr="00823410">
        <w:rPr>
          <w:rFonts w:ascii="Verdana" w:hAnsi="Verdana" w:cs="Verdana"/>
          <w:vertAlign w:val="superscript"/>
          <w:lang w:eastAsia="x-none"/>
        </w:rPr>
        <w:t>th</w:t>
      </w:r>
      <w:r>
        <w:rPr>
          <w:rFonts w:ascii="Verdana" w:hAnsi="Verdana" w:cs="Verdana"/>
          <w:lang w:eastAsia="x-none"/>
        </w:rPr>
        <w:t xml:space="preserve"> Father’s Day</w:t>
      </w: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823410" w:rsidRDefault="00823410" w:rsidP="00823410">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PRAY FOR REVIVAL, FOR AMERICA!</w:t>
      </w:r>
    </w:p>
    <w:p w:rsidR="003A6A0E" w:rsidRDefault="003A6A0E" w:rsidP="005D50A6">
      <w:pPr>
        <w:widowControl w:val="0"/>
        <w:autoSpaceDE w:val="0"/>
        <w:autoSpaceDN w:val="0"/>
        <w:adjustRightInd w:val="0"/>
        <w:spacing w:before="60" w:after="60"/>
        <w:ind w:left="360"/>
        <w:rPr>
          <w:rFonts w:ascii="Verdana" w:hAnsi="Verdana" w:cs="Verdana"/>
          <w:sz w:val="16"/>
          <w:szCs w:val="16"/>
          <w:lang w:eastAsia="x-none"/>
        </w:rPr>
      </w:pPr>
    </w:p>
    <w:p w:rsidR="003A6A0E" w:rsidRDefault="00823410" w:rsidP="00823410">
      <w:pPr>
        <w:widowControl w:val="0"/>
        <w:autoSpaceDE w:val="0"/>
        <w:autoSpaceDN w:val="0"/>
        <w:adjustRightInd w:val="0"/>
        <w:spacing w:before="60" w:after="60"/>
        <w:ind w:left="360"/>
        <w:jc w:val="center"/>
        <w:rPr>
          <w:rFonts w:ascii="Verdana" w:hAnsi="Verdana" w:cs="Verdana"/>
          <w:sz w:val="16"/>
          <w:szCs w:val="16"/>
          <w:lang w:eastAsia="x-none"/>
        </w:rPr>
      </w:pPr>
      <w:r w:rsidRPr="005229D0">
        <w:rPr>
          <w:rFonts w:ascii="Georgia" w:eastAsia="Times New Roman" w:hAnsi="Georgia" w:cs="Georgia"/>
          <w:noProof/>
          <w:sz w:val="28"/>
          <w:szCs w:val="28"/>
        </w:rPr>
        <w:drawing>
          <wp:inline distT="0" distB="0" distL="0" distR="0" wp14:anchorId="374768F6" wp14:editId="49927E62">
            <wp:extent cx="2790825" cy="79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260"/>
                    </a:xfrm>
                    <a:prstGeom prst="rect">
                      <a:avLst/>
                    </a:prstGeom>
                    <a:noFill/>
                    <a:ln>
                      <a:noFill/>
                    </a:ln>
                  </pic:spPr>
                </pic:pic>
              </a:graphicData>
            </a:graphic>
          </wp:inline>
        </w:drawing>
      </w:r>
    </w:p>
    <w:p w:rsidR="003A6A0E" w:rsidRDefault="003A6A0E" w:rsidP="005D50A6">
      <w:pPr>
        <w:widowControl w:val="0"/>
        <w:autoSpaceDE w:val="0"/>
        <w:autoSpaceDN w:val="0"/>
        <w:adjustRightInd w:val="0"/>
        <w:spacing w:before="60" w:after="60"/>
        <w:ind w:left="360"/>
        <w:rPr>
          <w:rFonts w:ascii="Verdana" w:hAnsi="Verdana" w:cs="Verdana"/>
          <w:sz w:val="16"/>
          <w:szCs w:val="16"/>
          <w:lang w:eastAsia="x-none"/>
        </w:rPr>
      </w:pPr>
    </w:p>
    <w:p w:rsidR="00B074F6" w:rsidRDefault="00B074F6" w:rsidP="003A6A0E">
      <w:pPr>
        <w:widowControl w:val="0"/>
        <w:autoSpaceDE w:val="0"/>
        <w:autoSpaceDN w:val="0"/>
        <w:adjustRightInd w:val="0"/>
        <w:spacing w:before="60" w:after="60"/>
        <w:ind w:left="360"/>
        <w:jc w:val="center"/>
        <w:rPr>
          <w:rFonts w:ascii="Rockwell Extra Bold" w:hAnsi="Rockwell Extra Bold" w:cs="Verdana"/>
          <w:b/>
          <w:i/>
          <w:sz w:val="24"/>
          <w:szCs w:val="24"/>
          <w:lang w:eastAsia="x-none"/>
        </w:rPr>
      </w:pPr>
      <w:r>
        <w:rPr>
          <w:noProof/>
        </w:rPr>
        <w:lastRenderedPageBreak/>
        <w:drawing>
          <wp:inline distT="0" distB="0" distL="0" distR="0" wp14:anchorId="71DB9B43" wp14:editId="50CEC94C">
            <wp:extent cx="2343150" cy="1312164"/>
            <wp:effectExtent l="0" t="0" r="0" b="2540"/>
            <wp:docPr id="2" name="Picture 2" descr="Daniel 4: The King Who Ate Gras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4: The King Who Ate Grass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312164"/>
                    </a:xfrm>
                    <a:prstGeom prst="rect">
                      <a:avLst/>
                    </a:prstGeom>
                    <a:noFill/>
                    <a:ln>
                      <a:noFill/>
                    </a:ln>
                  </pic:spPr>
                </pic:pic>
              </a:graphicData>
            </a:graphic>
          </wp:inline>
        </w:drawing>
      </w:r>
    </w:p>
    <w:p w:rsidR="003A6A0E" w:rsidRPr="003A6A0E" w:rsidRDefault="003A6A0E" w:rsidP="003A6A0E">
      <w:pPr>
        <w:widowControl w:val="0"/>
        <w:autoSpaceDE w:val="0"/>
        <w:autoSpaceDN w:val="0"/>
        <w:adjustRightInd w:val="0"/>
        <w:spacing w:before="60" w:after="60"/>
        <w:ind w:left="360"/>
        <w:jc w:val="center"/>
        <w:rPr>
          <w:rFonts w:ascii="Rockwell Extra Bold" w:hAnsi="Rockwell Extra Bold" w:cs="Verdana"/>
          <w:b/>
          <w:i/>
          <w:sz w:val="24"/>
          <w:szCs w:val="24"/>
          <w:lang w:eastAsia="x-none"/>
        </w:rPr>
      </w:pPr>
      <w:r>
        <w:rPr>
          <w:rFonts w:ascii="Rockwell Extra Bold" w:hAnsi="Rockwell Extra Bold" w:cs="Verdana"/>
          <w:b/>
          <w:i/>
          <w:sz w:val="24"/>
          <w:szCs w:val="24"/>
          <w:lang w:eastAsia="x-none"/>
        </w:rPr>
        <w:t xml:space="preserve">------------------------------------------------------ </w:t>
      </w:r>
    </w:p>
    <w:p w:rsidR="00A24114" w:rsidRDefault="00A24114" w:rsidP="00A24114">
      <w:pPr>
        <w:widowControl w:val="0"/>
        <w:autoSpaceDE w:val="0"/>
        <w:autoSpaceDN w:val="0"/>
        <w:adjustRightInd w:val="0"/>
        <w:spacing w:before="60" w:after="60" w:line="240" w:lineRule="auto"/>
        <w:jc w:val="center"/>
        <w:rPr>
          <w:rFonts w:ascii="Verdana" w:eastAsia="Times New Roman" w:hAnsi="Verdana" w:cs="Verdana"/>
          <w:b/>
          <w:sz w:val="24"/>
          <w:szCs w:val="24"/>
          <w:lang w:eastAsia="x-none"/>
        </w:rPr>
      </w:pPr>
      <w:r w:rsidRPr="00A24114">
        <w:rPr>
          <w:rFonts w:ascii="Verdana" w:eastAsia="Times New Roman" w:hAnsi="Verdana" w:cs="Verdana"/>
          <w:b/>
          <w:sz w:val="24"/>
          <w:szCs w:val="24"/>
          <w:lang w:eastAsia="x-none"/>
        </w:rPr>
        <w:t xml:space="preserve">Today’s Scripture Reading - </w:t>
      </w:r>
      <w:r w:rsidR="000B0AD5">
        <w:rPr>
          <w:rFonts w:ascii="Verdana" w:eastAsia="Times New Roman" w:hAnsi="Verdana" w:cs="Verdana"/>
          <w:b/>
          <w:sz w:val="24"/>
          <w:szCs w:val="24"/>
          <w:lang w:eastAsia="x-none"/>
        </w:rPr>
        <w:t>Daniel 4:24-28;</w:t>
      </w:r>
    </w:p>
    <w:p w:rsidR="000B0AD5" w:rsidRPr="000B0AD5" w:rsidRDefault="000B0AD5" w:rsidP="00A24114">
      <w:pPr>
        <w:widowControl w:val="0"/>
        <w:autoSpaceDE w:val="0"/>
        <w:autoSpaceDN w:val="0"/>
        <w:adjustRightInd w:val="0"/>
        <w:spacing w:before="60" w:after="60" w:line="240" w:lineRule="auto"/>
        <w:jc w:val="center"/>
        <w:rPr>
          <w:rFonts w:ascii="Verdana" w:eastAsia="Times New Roman" w:hAnsi="Verdana" w:cs="Verdana"/>
          <w:b/>
          <w:strike/>
          <w:sz w:val="16"/>
          <w:szCs w:val="16"/>
          <w:lang w:eastAsia="x-none"/>
        </w:rPr>
      </w:pPr>
    </w:p>
    <w:p w:rsidR="000B0AD5" w:rsidRPr="000B0AD5" w:rsidRDefault="000B0AD5" w:rsidP="000B0AD5">
      <w:pPr>
        <w:widowControl w:val="0"/>
        <w:autoSpaceDE w:val="0"/>
        <w:autoSpaceDN w:val="0"/>
        <w:adjustRightInd w:val="0"/>
        <w:spacing w:before="60" w:after="60" w:line="240" w:lineRule="auto"/>
        <w:rPr>
          <w:rFonts w:ascii="Verdana" w:hAnsi="Verdana" w:cs="Verdana"/>
          <w:lang w:val="x-none" w:eastAsia="x-none"/>
        </w:rPr>
      </w:pPr>
      <w:r w:rsidRPr="000B0AD5">
        <w:rPr>
          <w:rFonts w:ascii="Verdana" w:hAnsi="Verdana" w:cs="Verdana"/>
          <w:lang w:val="x-none" w:eastAsia="x-none"/>
        </w:rPr>
        <w:t xml:space="preserve">24  This </w:t>
      </w:r>
      <w:r w:rsidRPr="000B0AD5">
        <w:rPr>
          <w:rFonts w:ascii="Verdana" w:hAnsi="Verdana" w:cs="Verdana"/>
          <w:i/>
          <w:iCs/>
          <w:lang w:val="x-none" w:eastAsia="x-none"/>
        </w:rPr>
        <w:t>is</w:t>
      </w:r>
      <w:r w:rsidRPr="000B0AD5">
        <w:rPr>
          <w:rFonts w:ascii="Verdana" w:hAnsi="Verdana" w:cs="Verdana"/>
          <w:lang w:val="x-none" w:eastAsia="x-none"/>
        </w:rPr>
        <w:t xml:space="preserve"> the interpretation, O king, and this </w:t>
      </w:r>
      <w:r w:rsidRPr="000B0AD5">
        <w:rPr>
          <w:rFonts w:ascii="Verdana" w:hAnsi="Verdana" w:cs="Verdana"/>
          <w:i/>
          <w:iCs/>
          <w:lang w:val="x-none" w:eastAsia="x-none"/>
        </w:rPr>
        <w:t>is</w:t>
      </w:r>
      <w:r w:rsidRPr="000B0AD5">
        <w:rPr>
          <w:rFonts w:ascii="Verdana" w:hAnsi="Verdana" w:cs="Verdana"/>
          <w:lang w:val="x-none" w:eastAsia="x-none"/>
        </w:rPr>
        <w:t xml:space="preserve"> the decree of the most High, which is come upon my lord the king: </w:t>
      </w:r>
    </w:p>
    <w:p w:rsidR="000B0AD5" w:rsidRPr="000B0AD5" w:rsidRDefault="000B0AD5" w:rsidP="000B0AD5">
      <w:pPr>
        <w:widowControl w:val="0"/>
        <w:autoSpaceDE w:val="0"/>
        <w:autoSpaceDN w:val="0"/>
        <w:adjustRightInd w:val="0"/>
        <w:spacing w:before="60" w:after="60" w:line="240" w:lineRule="auto"/>
        <w:rPr>
          <w:rFonts w:ascii="Verdana" w:hAnsi="Verdana" w:cs="Verdana"/>
          <w:lang w:val="x-none" w:eastAsia="x-none"/>
        </w:rPr>
      </w:pPr>
      <w:r w:rsidRPr="000B0AD5">
        <w:rPr>
          <w:rFonts w:ascii="Verdana" w:hAnsi="Verdana" w:cs="Verdana"/>
          <w:lang w:val="x-none" w:eastAsia="x-none"/>
        </w:rPr>
        <w:t xml:space="preserve">25  That they shall drive thee from men, and thy dwelling shall be with the beasts of the field, and they shall make thee to eat grass as oxen, and they shall wet thee with the dew of heaven, and seven times shall pass over thee, till thou know that the most High </w:t>
      </w:r>
      <w:proofErr w:type="spellStart"/>
      <w:r w:rsidRPr="000B0AD5">
        <w:rPr>
          <w:rFonts w:ascii="Verdana" w:hAnsi="Verdana" w:cs="Verdana"/>
          <w:lang w:val="x-none" w:eastAsia="x-none"/>
        </w:rPr>
        <w:t>ruleth</w:t>
      </w:r>
      <w:proofErr w:type="spellEnd"/>
      <w:r w:rsidRPr="000B0AD5">
        <w:rPr>
          <w:rFonts w:ascii="Verdana" w:hAnsi="Verdana" w:cs="Verdana"/>
          <w:lang w:val="x-none" w:eastAsia="x-none"/>
        </w:rPr>
        <w:t xml:space="preserve"> in the kingdom of men, and giveth it to whomsoever he will. </w:t>
      </w:r>
    </w:p>
    <w:p w:rsidR="000B0AD5" w:rsidRPr="000B0AD5" w:rsidRDefault="000B0AD5" w:rsidP="000B0AD5">
      <w:pPr>
        <w:widowControl w:val="0"/>
        <w:autoSpaceDE w:val="0"/>
        <w:autoSpaceDN w:val="0"/>
        <w:adjustRightInd w:val="0"/>
        <w:spacing w:before="60" w:after="60" w:line="240" w:lineRule="auto"/>
        <w:rPr>
          <w:rFonts w:ascii="Verdana" w:hAnsi="Verdana" w:cs="Verdana"/>
          <w:lang w:val="x-none" w:eastAsia="x-none"/>
        </w:rPr>
      </w:pPr>
      <w:r w:rsidRPr="000B0AD5">
        <w:rPr>
          <w:rFonts w:ascii="Verdana" w:hAnsi="Verdana" w:cs="Verdana"/>
          <w:lang w:val="x-none" w:eastAsia="x-none"/>
        </w:rPr>
        <w:t>26  And whereas they commanded to leave the stump of the tree roots; thy kingdom shall be sure unto thee, after that thou shalt have known that the heavens do rule. </w:t>
      </w:r>
    </w:p>
    <w:p w:rsidR="000B0AD5" w:rsidRPr="000B0AD5" w:rsidRDefault="000B0AD5" w:rsidP="000B0AD5">
      <w:pPr>
        <w:widowControl w:val="0"/>
        <w:autoSpaceDE w:val="0"/>
        <w:autoSpaceDN w:val="0"/>
        <w:adjustRightInd w:val="0"/>
        <w:spacing w:before="60" w:after="60" w:line="240" w:lineRule="auto"/>
        <w:rPr>
          <w:rFonts w:ascii="Verdana" w:hAnsi="Verdana" w:cs="Verdana"/>
          <w:lang w:val="x-none" w:eastAsia="x-none"/>
        </w:rPr>
      </w:pPr>
      <w:r w:rsidRPr="000B0AD5">
        <w:rPr>
          <w:rFonts w:ascii="Verdana" w:hAnsi="Verdana" w:cs="Verdana"/>
          <w:lang w:val="x-none" w:eastAsia="x-none"/>
        </w:rPr>
        <w:t xml:space="preserve">27  Wherefore, O king, let my counsel be acceptable unto thee, and break off thy sins by righteousness, and thine iniquities by shewing mercy to the poor; if it may be a lengthening of thy </w:t>
      </w:r>
      <w:proofErr w:type="spellStart"/>
      <w:r w:rsidRPr="000B0AD5">
        <w:rPr>
          <w:rFonts w:ascii="Verdana" w:hAnsi="Verdana" w:cs="Verdana"/>
          <w:lang w:val="x-none" w:eastAsia="x-none"/>
        </w:rPr>
        <w:t>tranquillity</w:t>
      </w:r>
      <w:proofErr w:type="spellEnd"/>
      <w:r w:rsidRPr="000B0AD5">
        <w:rPr>
          <w:rFonts w:ascii="Verdana" w:hAnsi="Verdana" w:cs="Verdana"/>
          <w:lang w:val="x-none" w:eastAsia="x-none"/>
        </w:rPr>
        <w:t>. </w:t>
      </w:r>
    </w:p>
    <w:p w:rsidR="000B0AD5" w:rsidRPr="000B0AD5" w:rsidRDefault="000B0AD5" w:rsidP="000B0AD5">
      <w:pPr>
        <w:widowControl w:val="0"/>
        <w:pBdr>
          <w:bottom w:val="single" w:sz="6" w:space="1" w:color="auto"/>
        </w:pBdr>
        <w:autoSpaceDE w:val="0"/>
        <w:autoSpaceDN w:val="0"/>
        <w:adjustRightInd w:val="0"/>
        <w:spacing w:before="60" w:after="60" w:line="240" w:lineRule="auto"/>
        <w:rPr>
          <w:rFonts w:ascii="Verdana" w:hAnsi="Verdana" w:cs="Verdana"/>
          <w:lang w:val="x-none" w:eastAsia="x-none"/>
        </w:rPr>
      </w:pPr>
      <w:r w:rsidRPr="000B0AD5">
        <w:rPr>
          <w:rFonts w:ascii="Verdana" w:hAnsi="Verdana" w:cs="Verdana"/>
          <w:lang w:val="x-none" w:eastAsia="x-none"/>
        </w:rPr>
        <w:t>28  All this came upon the king Nebuchadnezzar. </w:t>
      </w:r>
    </w:p>
    <w:p w:rsidR="00397B11" w:rsidRDefault="00397B11" w:rsidP="00A24114">
      <w:pPr>
        <w:spacing w:after="0" w:line="240" w:lineRule="auto"/>
        <w:jc w:val="center"/>
        <w:rPr>
          <w:rFonts w:ascii="Verdana" w:eastAsia="Times New Roman" w:hAnsi="Verdana" w:cs="Times New Roman"/>
          <w:b/>
          <w:sz w:val="24"/>
          <w:szCs w:val="24"/>
          <w:lang w:eastAsia="x-none"/>
        </w:rPr>
      </w:pPr>
    </w:p>
    <w:p w:rsidR="00397B11" w:rsidRPr="00A24114" w:rsidRDefault="00397B11" w:rsidP="00A24114">
      <w:pPr>
        <w:spacing w:after="0" w:line="240" w:lineRule="auto"/>
        <w:jc w:val="center"/>
        <w:rPr>
          <w:rFonts w:ascii="Verdana" w:eastAsia="Times New Roman" w:hAnsi="Verdana" w:cs="Times New Roman"/>
          <w:b/>
          <w:sz w:val="24"/>
          <w:szCs w:val="24"/>
          <w:lang w:eastAsia="x-none"/>
        </w:rPr>
      </w:pPr>
      <w:r>
        <w:rPr>
          <w:rFonts w:ascii="Verdana" w:eastAsia="Times New Roman" w:hAnsi="Verdana" w:cs="Times New Roman"/>
          <w:b/>
          <w:sz w:val="24"/>
          <w:szCs w:val="24"/>
          <w:lang w:eastAsia="x-none"/>
        </w:rPr>
        <w:t xml:space="preserve">Nebuchadnezzar Receives a Wake </w:t>
      </w:r>
      <w:proofErr w:type="gramStart"/>
      <w:r>
        <w:rPr>
          <w:rFonts w:ascii="Verdana" w:eastAsia="Times New Roman" w:hAnsi="Verdana" w:cs="Times New Roman"/>
          <w:b/>
          <w:sz w:val="24"/>
          <w:szCs w:val="24"/>
          <w:lang w:eastAsia="x-none"/>
        </w:rPr>
        <w:t>Up</w:t>
      </w:r>
      <w:proofErr w:type="gramEnd"/>
      <w:r>
        <w:rPr>
          <w:rFonts w:ascii="Verdana" w:eastAsia="Times New Roman" w:hAnsi="Verdana" w:cs="Times New Roman"/>
          <w:b/>
          <w:sz w:val="24"/>
          <w:szCs w:val="24"/>
          <w:lang w:eastAsia="x-none"/>
        </w:rPr>
        <w:t xml:space="preserve"> Call</w:t>
      </w:r>
    </w:p>
    <w:p w:rsidR="005F69F2" w:rsidRDefault="00397B11" w:rsidP="00316B4A">
      <w:pPr>
        <w:spacing w:after="0" w:line="240" w:lineRule="auto"/>
        <w:jc w:val="center"/>
        <w:rPr>
          <w:rFonts w:ascii="Verdana" w:hAnsi="Verdana"/>
          <w:b/>
          <w:i/>
          <w:iCs/>
          <w:sz w:val="28"/>
          <w:szCs w:val="28"/>
        </w:rPr>
      </w:pPr>
      <w:r>
        <w:rPr>
          <w:noProof/>
        </w:rPr>
        <w:drawing>
          <wp:inline distT="0" distB="0" distL="0" distR="0" wp14:anchorId="29F010C3" wp14:editId="5CF23F5C">
            <wp:extent cx="2517322" cy="1409700"/>
            <wp:effectExtent l="0" t="0" r="0" b="0"/>
            <wp:docPr id="3" name="Picture 3" descr="Wake-Up Calls (Daniel 4:37) |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e-Up Calls (Daniel 4:37) | For 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091" cy="1410130"/>
                    </a:xfrm>
                    <a:prstGeom prst="rect">
                      <a:avLst/>
                    </a:prstGeom>
                    <a:noFill/>
                    <a:ln>
                      <a:noFill/>
                    </a:ln>
                  </pic:spPr>
                </pic:pic>
              </a:graphicData>
            </a:graphic>
          </wp:inline>
        </w:drawing>
      </w:r>
    </w:p>
    <w:sectPr w:rsidR="005F69F2"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B0AD5"/>
    <w:rsid w:val="000B7730"/>
    <w:rsid w:val="000C1B3A"/>
    <w:rsid w:val="000E26F6"/>
    <w:rsid w:val="000F43E5"/>
    <w:rsid w:val="00110794"/>
    <w:rsid w:val="0011218B"/>
    <w:rsid w:val="00115E3B"/>
    <w:rsid w:val="0011663F"/>
    <w:rsid w:val="0011684C"/>
    <w:rsid w:val="0012631F"/>
    <w:rsid w:val="001370E9"/>
    <w:rsid w:val="001A6BB9"/>
    <w:rsid w:val="001D045C"/>
    <w:rsid w:val="001D5B3F"/>
    <w:rsid w:val="001E3E9A"/>
    <w:rsid w:val="001F0F1C"/>
    <w:rsid w:val="00210A41"/>
    <w:rsid w:val="002939EA"/>
    <w:rsid w:val="002B27A8"/>
    <w:rsid w:val="003071D3"/>
    <w:rsid w:val="00316B4A"/>
    <w:rsid w:val="00327801"/>
    <w:rsid w:val="00345B84"/>
    <w:rsid w:val="00370D7C"/>
    <w:rsid w:val="00397B11"/>
    <w:rsid w:val="003A2FAE"/>
    <w:rsid w:val="003A6A0E"/>
    <w:rsid w:val="003D6F74"/>
    <w:rsid w:val="0042283A"/>
    <w:rsid w:val="00422D4C"/>
    <w:rsid w:val="00450435"/>
    <w:rsid w:val="00472F0F"/>
    <w:rsid w:val="00494F3B"/>
    <w:rsid w:val="004E5EFF"/>
    <w:rsid w:val="0051155B"/>
    <w:rsid w:val="005229D0"/>
    <w:rsid w:val="00542223"/>
    <w:rsid w:val="00576F70"/>
    <w:rsid w:val="00583920"/>
    <w:rsid w:val="00590978"/>
    <w:rsid w:val="00591381"/>
    <w:rsid w:val="00593CD7"/>
    <w:rsid w:val="0059736A"/>
    <w:rsid w:val="005B3D8F"/>
    <w:rsid w:val="005D50A6"/>
    <w:rsid w:val="005E0BF6"/>
    <w:rsid w:val="005F3DC0"/>
    <w:rsid w:val="005F69F2"/>
    <w:rsid w:val="006104CE"/>
    <w:rsid w:val="00623C6A"/>
    <w:rsid w:val="006727E7"/>
    <w:rsid w:val="00685E55"/>
    <w:rsid w:val="006B4577"/>
    <w:rsid w:val="006C0567"/>
    <w:rsid w:val="00702426"/>
    <w:rsid w:val="00752685"/>
    <w:rsid w:val="007614B5"/>
    <w:rsid w:val="00781692"/>
    <w:rsid w:val="007920E4"/>
    <w:rsid w:val="0079491C"/>
    <w:rsid w:val="007B450E"/>
    <w:rsid w:val="007E5AF1"/>
    <w:rsid w:val="008028D4"/>
    <w:rsid w:val="00823410"/>
    <w:rsid w:val="00834D25"/>
    <w:rsid w:val="008368EB"/>
    <w:rsid w:val="0084185D"/>
    <w:rsid w:val="00876586"/>
    <w:rsid w:val="00881356"/>
    <w:rsid w:val="0088172C"/>
    <w:rsid w:val="00894627"/>
    <w:rsid w:val="008A02C4"/>
    <w:rsid w:val="008C477B"/>
    <w:rsid w:val="00922803"/>
    <w:rsid w:val="00923C19"/>
    <w:rsid w:val="00947EBB"/>
    <w:rsid w:val="009543F9"/>
    <w:rsid w:val="00963E54"/>
    <w:rsid w:val="00975924"/>
    <w:rsid w:val="009B265F"/>
    <w:rsid w:val="009D7628"/>
    <w:rsid w:val="009E70F7"/>
    <w:rsid w:val="00A07FED"/>
    <w:rsid w:val="00A13F8E"/>
    <w:rsid w:val="00A17DF8"/>
    <w:rsid w:val="00A24114"/>
    <w:rsid w:val="00A2547E"/>
    <w:rsid w:val="00A575D1"/>
    <w:rsid w:val="00AC325E"/>
    <w:rsid w:val="00AC4C61"/>
    <w:rsid w:val="00AD5197"/>
    <w:rsid w:val="00AF009C"/>
    <w:rsid w:val="00B006D6"/>
    <w:rsid w:val="00B074F6"/>
    <w:rsid w:val="00B10D25"/>
    <w:rsid w:val="00BE04A2"/>
    <w:rsid w:val="00BF0791"/>
    <w:rsid w:val="00C07F92"/>
    <w:rsid w:val="00C70764"/>
    <w:rsid w:val="00C73CEC"/>
    <w:rsid w:val="00CA436B"/>
    <w:rsid w:val="00CA5D50"/>
    <w:rsid w:val="00CC600C"/>
    <w:rsid w:val="00D04F10"/>
    <w:rsid w:val="00D1621E"/>
    <w:rsid w:val="00D2579B"/>
    <w:rsid w:val="00D420BE"/>
    <w:rsid w:val="00D56FA6"/>
    <w:rsid w:val="00D81567"/>
    <w:rsid w:val="00D828FD"/>
    <w:rsid w:val="00D904F0"/>
    <w:rsid w:val="00DA6E9D"/>
    <w:rsid w:val="00DB1D06"/>
    <w:rsid w:val="00DF2FE8"/>
    <w:rsid w:val="00DF474B"/>
    <w:rsid w:val="00E26132"/>
    <w:rsid w:val="00E41C55"/>
    <w:rsid w:val="00E57250"/>
    <w:rsid w:val="00E84A65"/>
    <w:rsid w:val="00E877BD"/>
    <w:rsid w:val="00E937BC"/>
    <w:rsid w:val="00EB328A"/>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2023-04-22T16:27:00Z</cp:lastPrinted>
  <dcterms:created xsi:type="dcterms:W3CDTF">2023-05-21T00:53:00Z</dcterms:created>
  <dcterms:modified xsi:type="dcterms:W3CDTF">2023-05-21T00:53:00Z</dcterms:modified>
</cp:coreProperties>
</file>